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54092" w14:textId="1E3E8676" w:rsidR="00E90E49" w:rsidRPr="00050C46" w:rsidRDefault="00E90E49" w:rsidP="00E35559">
      <w:pPr>
        <w:pStyle w:val="3GPPHeader"/>
        <w:spacing w:after="60"/>
        <w:rPr>
          <w:i/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A2D98" w:rsidRPr="004A2D98">
        <w:t>94bis</w:t>
      </w:r>
      <w:r w:rsidRPr="00CE0424">
        <w:tab/>
      </w:r>
      <w:r w:rsidR="00091557" w:rsidRPr="00050C46">
        <w:rPr>
          <w:i/>
          <w:sz w:val="32"/>
          <w:szCs w:val="32"/>
        </w:rPr>
        <w:t>R</w:t>
      </w:r>
      <w:r w:rsidR="008F1C4E" w:rsidRPr="00050C46">
        <w:rPr>
          <w:i/>
          <w:sz w:val="32"/>
          <w:szCs w:val="32"/>
        </w:rPr>
        <w:t>1</w:t>
      </w:r>
      <w:r w:rsidR="00091557" w:rsidRPr="00050C46">
        <w:rPr>
          <w:i/>
          <w:sz w:val="32"/>
          <w:szCs w:val="32"/>
        </w:rPr>
        <w:t>-</w:t>
      </w:r>
      <w:r w:rsidR="005F3025" w:rsidRPr="00050C46">
        <w:rPr>
          <w:i/>
          <w:sz w:val="32"/>
          <w:szCs w:val="32"/>
        </w:rPr>
        <w:t>1</w:t>
      </w:r>
      <w:r w:rsidR="008F1C4E" w:rsidRPr="00050C46">
        <w:rPr>
          <w:i/>
          <w:sz w:val="32"/>
          <w:szCs w:val="32"/>
        </w:rPr>
        <w:t>8</w:t>
      </w:r>
      <w:r w:rsidR="00375552">
        <w:rPr>
          <w:i/>
          <w:sz w:val="32"/>
          <w:szCs w:val="32"/>
        </w:rPr>
        <w:t>11580</w:t>
      </w:r>
    </w:p>
    <w:p w14:paraId="624F3E54" w14:textId="33ACDD01" w:rsidR="00E90E49" w:rsidRPr="004A2D98" w:rsidRDefault="004A2D98" w:rsidP="00357380">
      <w:pPr>
        <w:pStyle w:val="3GPPHeader"/>
        <w:rPr>
          <w:bCs/>
        </w:rPr>
      </w:pPr>
      <w:r w:rsidRPr="004A2D98">
        <w:rPr>
          <w:bCs/>
        </w:rPr>
        <w:t>Chengdu, China, October 8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 – 12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, 2018 </w:t>
      </w:r>
    </w:p>
    <w:p w14:paraId="1516F60F" w14:textId="7CF1A698" w:rsidR="00E90E49" w:rsidRPr="00D40253" w:rsidRDefault="00E90E49" w:rsidP="00311702">
      <w:pPr>
        <w:pStyle w:val="3GPPHeader"/>
        <w:rPr>
          <w:sz w:val="22"/>
          <w:szCs w:val="22"/>
          <w:lang w:val="en-US"/>
        </w:rPr>
      </w:pPr>
      <w:r w:rsidRPr="00D40253">
        <w:rPr>
          <w:sz w:val="22"/>
          <w:szCs w:val="22"/>
          <w:lang w:val="en-US"/>
        </w:rPr>
        <w:t>Agenda Item:</w:t>
      </w:r>
      <w:r w:rsidRPr="00D40253">
        <w:rPr>
          <w:sz w:val="22"/>
          <w:szCs w:val="22"/>
          <w:lang w:val="en-US"/>
        </w:rPr>
        <w:tab/>
      </w:r>
      <w:r w:rsidR="00FF5B1D" w:rsidRPr="00D40253">
        <w:rPr>
          <w:sz w:val="22"/>
          <w:szCs w:val="22"/>
          <w:lang w:val="en-US"/>
        </w:rPr>
        <w:t>7.1.1.1</w:t>
      </w:r>
    </w:p>
    <w:p w14:paraId="2CEA534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48881C3" w14:textId="5F9902E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F5B1D" w:rsidRPr="00FF5B1D">
        <w:rPr>
          <w:sz w:val="22"/>
          <w:szCs w:val="22"/>
        </w:rPr>
        <w:t>Maintenance for Downlink signals and channels</w:t>
      </w:r>
    </w:p>
    <w:p w14:paraId="73E6E29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F5B1D">
        <w:rPr>
          <w:sz w:val="22"/>
          <w:szCs w:val="22"/>
        </w:rPr>
        <w:t>Discussion, Decision</w:t>
      </w:r>
    </w:p>
    <w:p w14:paraId="7B8EAE83" w14:textId="77777777" w:rsidR="00E90E49" w:rsidRPr="00CE0424" w:rsidRDefault="00E90E49" w:rsidP="00E90E49"/>
    <w:p w14:paraId="2BC9CFB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E1DFA27" w14:textId="0F128E5A" w:rsidR="00FF5B1D" w:rsidRPr="00CE0424" w:rsidRDefault="00FF5B1D" w:rsidP="00FF5B1D">
      <w:pPr>
        <w:pStyle w:val="BodyText"/>
      </w:pPr>
      <w:r>
        <w:t xml:space="preserve">In the following, we discuss the aspects related to </w:t>
      </w:r>
      <w:r w:rsidRPr="00A061C9">
        <w:t>synchronization signals, PBCH, RMSI, OSI, and Paging</w:t>
      </w:r>
      <w:r>
        <w:t xml:space="preserve"> for release 15 maintenance requiring clarifications.</w:t>
      </w:r>
    </w:p>
    <w:p w14:paraId="2D630DF1" w14:textId="3ABECA0B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FF5B1D">
        <w:t>Synchronization signals</w:t>
      </w:r>
    </w:p>
    <w:p w14:paraId="584B26C7" w14:textId="5A0A3347" w:rsidR="00FF5B1D" w:rsidRDefault="005879B0" w:rsidP="005879B0">
      <w:pPr>
        <w:pStyle w:val="Heading2"/>
      </w:pPr>
      <w:r>
        <w:t xml:space="preserve">2.1 </w:t>
      </w:r>
      <w:r w:rsidR="004D1B89">
        <w:tab/>
      </w:r>
      <w:r>
        <w:t xml:space="preserve">Parameter for </w:t>
      </w:r>
      <w:proofErr w:type="spellStart"/>
      <w:r w:rsidR="00B3176E" w:rsidRPr="00B3176E">
        <w:t>he</w:t>
      </w:r>
      <w:proofErr w:type="spellEnd"/>
      <w:r w:rsidR="00B3176E" w:rsidRPr="00B3176E">
        <w:t xml:space="preserve"> maximum number of SS/PBCH blocks in an SS/PBCH period</w:t>
      </w:r>
      <w:r>
        <w:t xml:space="preserve"> </w:t>
      </w:r>
    </w:p>
    <w:p w14:paraId="1133BCB3" w14:textId="02832FC7" w:rsidR="004D1B89" w:rsidRDefault="004D1B89" w:rsidP="004D1B89">
      <w:pPr>
        <w:pStyle w:val="BodyText"/>
      </w:pPr>
      <w:r>
        <w:t>The</w:t>
      </w:r>
      <w:r w:rsidR="00B3176E">
        <w:t>re</w:t>
      </w:r>
      <w:r>
        <w:t xml:space="preserve"> is an inconsistency in the </w:t>
      </w:r>
      <w:r w:rsidR="00B3176E">
        <w:t>notation for t</w:t>
      </w:r>
      <w:r w:rsidR="00B3176E" w:rsidRPr="00B3176E">
        <w:t xml:space="preserve">he maximum number of SS/PBCH blocks in an SS/PBCH period </w:t>
      </w:r>
      <w:r>
        <w:t>as shown below.</w:t>
      </w:r>
    </w:p>
    <w:p w14:paraId="1CEB7AFB" w14:textId="4DDB9CCD" w:rsidR="004D1B89" w:rsidRDefault="009E7F9B" w:rsidP="004D1B89">
      <w:pPr>
        <w:pStyle w:val="BodyText"/>
      </w:pPr>
      <w:r>
        <w:t>38.211, section 7.3.3.1:</w:t>
      </w:r>
    </w:p>
    <w:p w14:paraId="166B5E05" w14:textId="4EFE8F23" w:rsidR="009E7F9B" w:rsidRDefault="009E7F9B" w:rsidP="009E7F9B">
      <w:pPr>
        <w:ind w:left="567"/>
      </w:pPr>
      <w:r>
        <w:t xml:space="preserve">with </w:t>
      </w:r>
      <w:r>
        <w:rPr>
          <w:noProof/>
          <w:position w:val="-10"/>
          <w:highlight w:val="yellow"/>
        </w:rPr>
        <w:drawing>
          <wp:inline distT="0" distB="0" distL="0" distR="0" wp14:anchorId="0821DEC2" wp14:editId="2E1A226B">
            <wp:extent cx="279400" cy="1841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yellow"/>
        </w:rPr>
        <w:t> being the maximum number of SS/PBCH blocks in an SS/PBCH period</w:t>
      </w:r>
      <w:r>
        <w:t xml:space="preserve"> for a </w:t>
      </w:r>
      <w:proofErr w:type="gramStart"/>
      <w:r>
        <w:t>particular band</w:t>
      </w:r>
      <w:proofErr w:type="gramEnd"/>
      <w:r>
        <w:t xml:space="preserve"> as given by [38.104].</w:t>
      </w:r>
    </w:p>
    <w:p w14:paraId="7408E0C3" w14:textId="1A7F5DD6" w:rsidR="00B3176E" w:rsidRDefault="000C1063" w:rsidP="00B3176E">
      <w:pPr>
        <w:pStyle w:val="BodyText"/>
      </w:pPr>
      <w:r>
        <w:t>38.212, section 7.1</w:t>
      </w:r>
      <w:r w:rsidR="009E7F9B">
        <w:t>.1:</w:t>
      </w:r>
      <w:r w:rsidR="00B3176E" w:rsidRPr="00B3176E">
        <w:t xml:space="preserve"> </w:t>
      </w:r>
    </w:p>
    <w:p w14:paraId="233FAD3E" w14:textId="35BF870F" w:rsidR="00850777" w:rsidRDefault="00850777" w:rsidP="00850777">
      <w:pPr>
        <w:pStyle w:val="BodyText"/>
        <w:ind w:left="567"/>
      </w:pPr>
      <w:r w:rsidRPr="00850777">
        <w:rPr>
          <w:rFonts w:ascii="Times New Roman" w:hAnsi="Times New Roman"/>
        </w:rPr>
        <w:t xml:space="preserve">if </w:t>
      </w:r>
      <w:r>
        <w:rPr>
          <w:rFonts w:ascii="Times New Roman" w:hAnsi="Times New Roman"/>
          <w:noProof/>
          <w:position w:val="-6"/>
          <w:highlight w:val="yellow"/>
        </w:rPr>
        <w:drawing>
          <wp:inline distT="0" distB="0" distL="0" distR="0" wp14:anchorId="42E598AC" wp14:editId="5478B4DE">
            <wp:extent cx="552450" cy="2032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2F7F1" w14:textId="77777777" w:rsidR="00B3176E" w:rsidRDefault="00B3176E" w:rsidP="00B3176E">
      <w:pPr>
        <w:pStyle w:val="BodyText"/>
      </w:pPr>
    </w:p>
    <w:p w14:paraId="4932A983" w14:textId="33E55CB2" w:rsidR="00B3176E" w:rsidRDefault="00B3176E" w:rsidP="00B3176E">
      <w:pPr>
        <w:pStyle w:val="BodyText"/>
      </w:pPr>
      <w:r>
        <w:t>38.21</w:t>
      </w:r>
      <w:r>
        <w:t>3</w:t>
      </w:r>
      <w:r>
        <w:t>, section 7.</w:t>
      </w:r>
      <w:r>
        <w:t>4.</w:t>
      </w:r>
      <w:r>
        <w:t>1.</w:t>
      </w:r>
      <w:r>
        <w:t>4.</w:t>
      </w:r>
      <w:r>
        <w:t>1:</w:t>
      </w:r>
    </w:p>
    <w:p w14:paraId="6A4B34BC" w14:textId="77777777" w:rsidR="00850777" w:rsidRDefault="00850777" w:rsidP="00850777">
      <w:pPr>
        <w:ind w:left="567"/>
        <w:rPr>
          <w:lang w:eastAsia="en-US"/>
        </w:rPr>
      </w:pPr>
      <w:r>
        <w:t xml:space="preserve">with </w:t>
      </w:r>
      <m:oMath>
        <m:r>
          <w:rPr>
            <w:rFonts w:ascii="Cambria Math" w:hAnsi="Cambria Math"/>
            <w:highlight w:val="yellow"/>
          </w:rPr>
          <m:t>L</m:t>
        </m:r>
      </m:oMath>
      <w:r>
        <w:rPr>
          <w:highlight w:val="yellow"/>
        </w:rPr>
        <w:t xml:space="preserve"> being the maximum number of SS/PBCH beams in an SS/</w:t>
      </w:r>
      <w:r w:rsidRPr="00850777">
        <w:rPr>
          <w:highlight w:val="yellow"/>
        </w:rPr>
        <w:t>PBCH period</w:t>
      </w:r>
      <w:r>
        <w:t xml:space="preserve"> for a </w:t>
      </w:r>
      <w:proofErr w:type="gramStart"/>
      <w:r>
        <w:t>particular band</w:t>
      </w:r>
      <w:proofErr w:type="gramEnd"/>
      <w:r>
        <w:t xml:space="preserve"> as given by [38.104]. </w:t>
      </w:r>
    </w:p>
    <w:p w14:paraId="0121DD74" w14:textId="1F6CE010" w:rsidR="00850777" w:rsidRDefault="00850777" w:rsidP="00B3176E">
      <w:pPr>
        <w:pStyle w:val="BodyText"/>
      </w:pPr>
      <w:r>
        <w:t xml:space="preserve">The notation should be </w:t>
      </w:r>
      <w:proofErr w:type="gramStart"/>
      <w:r>
        <w:t>harmonized</w:t>
      </w:r>
      <w:proofErr w:type="gramEnd"/>
      <w:r>
        <w:t xml:space="preserve"> and this can be left to the editors.</w:t>
      </w:r>
    </w:p>
    <w:p w14:paraId="7DFAD6FF" w14:textId="0E855F6F" w:rsidR="009E7F9B" w:rsidRDefault="00850777" w:rsidP="00850777">
      <w:pPr>
        <w:pStyle w:val="Proposal"/>
      </w:pPr>
      <w:bookmarkStart w:id="1" w:name="_Toc525924429"/>
      <w:bookmarkStart w:id="2" w:name="_Toc525924449"/>
      <w:r>
        <w:t xml:space="preserve">The notation for </w:t>
      </w:r>
      <w:r w:rsidRPr="00850777">
        <w:t xml:space="preserve">the maximum number of SS/PBCH beams in an SS/PBCH period </w:t>
      </w:r>
      <w:r>
        <w:t>should be harmonized in 38.211, 38.212 and 38.213. Which term to use can be agreed by the editors.</w:t>
      </w:r>
      <w:bookmarkEnd w:id="1"/>
      <w:bookmarkEnd w:id="2"/>
      <w:r>
        <w:t xml:space="preserve"> </w:t>
      </w:r>
    </w:p>
    <w:p w14:paraId="16C605B6" w14:textId="77777777" w:rsidR="009E7F9B" w:rsidRDefault="009E7F9B" w:rsidP="009E7F9B">
      <w:pPr>
        <w:rPr>
          <w:lang w:eastAsia="en-US"/>
        </w:rPr>
      </w:pPr>
    </w:p>
    <w:p w14:paraId="2E642665" w14:textId="03DEF523" w:rsidR="00FF5B1D" w:rsidRDefault="005879B0" w:rsidP="00FF5B1D">
      <w:pPr>
        <w:pStyle w:val="Heading1"/>
      </w:pPr>
      <w:r>
        <w:lastRenderedPageBreak/>
        <w:t>3</w:t>
      </w:r>
      <w:r w:rsidR="00FF5B1D">
        <w:tab/>
        <w:t>Paging</w:t>
      </w:r>
    </w:p>
    <w:p w14:paraId="5A362BD2" w14:textId="7B837026" w:rsidR="001408A7" w:rsidRPr="001408A7" w:rsidRDefault="00F11840" w:rsidP="001408A7">
      <w:pPr>
        <w:pStyle w:val="Heading2"/>
      </w:pPr>
      <w:r>
        <w:t>3</w:t>
      </w:r>
      <w:r w:rsidR="001408A7">
        <w:t xml:space="preserve">.1 </w:t>
      </w:r>
      <w:r w:rsidR="004D1B89">
        <w:tab/>
      </w:r>
      <w:r w:rsidR="001408A7">
        <w:t>Paging monitoring occasions</w:t>
      </w:r>
    </w:p>
    <w:p w14:paraId="566C1E63" w14:textId="77777777" w:rsidR="0047522B" w:rsidRDefault="00433D0C" w:rsidP="005879B0">
      <w:pPr>
        <w:pStyle w:val="BodyText"/>
      </w:pPr>
      <w:r>
        <w:t>C</w:t>
      </w:r>
      <w:r w:rsidR="00D40253">
        <w:t>alculation of PDCCH monitoring occasions for paging occasions (PO</w:t>
      </w:r>
      <w:r>
        <w:t>s) for the non-default case</w:t>
      </w:r>
      <w:r w:rsidR="00D40253">
        <w:t xml:space="preserve"> in NR is based on the </w:t>
      </w:r>
      <w:proofErr w:type="spellStart"/>
      <w:r w:rsidR="00D40253" w:rsidRPr="00433D0C">
        <w:rPr>
          <w:i/>
        </w:rPr>
        <w:t>pagingSearchSpace</w:t>
      </w:r>
      <w:proofErr w:type="spellEnd"/>
      <w:r w:rsidR="00D40253">
        <w:t xml:space="preserve"> parameters (which are the same parameters as in any </w:t>
      </w:r>
      <w:proofErr w:type="spellStart"/>
      <w:r w:rsidR="00D40253" w:rsidRPr="00433D0C">
        <w:rPr>
          <w:i/>
        </w:rPr>
        <w:t>SearchSpace</w:t>
      </w:r>
      <w:proofErr w:type="spellEnd"/>
      <w:r w:rsidR="00D40253">
        <w:t xml:space="preserve">). </w:t>
      </w:r>
      <w:bookmarkStart w:id="3" w:name="_GoBack"/>
      <w:bookmarkEnd w:id="3"/>
      <w:r>
        <w:t>Additionally, the NR framework includes</w:t>
      </w:r>
      <w:r w:rsidR="00D40253">
        <w:t xml:space="preserve"> the notion of Paging Frames (PFs) which the POs are associated with. </w:t>
      </w:r>
      <w:r>
        <w:t>T</w:t>
      </w:r>
      <w:r w:rsidR="00D40253">
        <w:t xml:space="preserve">o calculate the PDCCH monitoring occasions for a PO, the </w:t>
      </w:r>
      <w:proofErr w:type="spellStart"/>
      <w:r w:rsidR="00D40253" w:rsidRPr="00433D0C">
        <w:rPr>
          <w:i/>
        </w:rPr>
        <w:t>pagingSearchSpace</w:t>
      </w:r>
      <w:proofErr w:type="spellEnd"/>
      <w:r w:rsidR="00D40253">
        <w:t xml:space="preserve"> </w:t>
      </w:r>
      <w:r>
        <w:t xml:space="preserve">parameters are </w:t>
      </w:r>
      <w:r w:rsidR="00D40253">
        <w:t>applied from the start of the PF</w:t>
      </w:r>
      <w:r>
        <w:t xml:space="preserve"> and</w:t>
      </w:r>
      <w:r w:rsidR="00D40253">
        <w:t xml:space="preserve"> PDCCH monitoring occasi</w:t>
      </w:r>
      <w:r>
        <w:t>ons prior to the PF are ignored</w:t>
      </w:r>
      <w:r w:rsidR="00D40253">
        <w:t xml:space="preserve">. </w:t>
      </w:r>
      <w:r w:rsidR="0047522B">
        <w:t>The calculation of slots containing PDCCH monitoring occasions is based on the frame number as defined in section 10.1 in TS 38.213:</w:t>
      </w:r>
    </w:p>
    <w:p w14:paraId="0CD6A744" w14:textId="265D6355" w:rsidR="0047522B" w:rsidRPr="005879B0" w:rsidRDefault="0047522B" w:rsidP="005879B0">
      <w:pPr>
        <w:pStyle w:val="IvDbodytext"/>
        <w:ind w:left="567"/>
        <w:rPr>
          <w:rFonts w:ascii="Times New Roman" w:hAnsi="Times New Roman" w:cs="Times New Roman"/>
          <w:color w:val="2F5496"/>
        </w:rPr>
      </w:pPr>
      <w:r w:rsidRPr="005879B0">
        <w:rPr>
          <w:rFonts w:ascii="Times New Roman" w:hAnsi="Times New Roman" w:cs="Times New Roman"/>
        </w:rPr>
        <w:t xml:space="preserve">For search space set </w:t>
      </w:r>
      <w:r w:rsidRPr="005879B0">
        <w:rPr>
          <w:rFonts w:ascii="Times New Roman" w:hAnsi="Times New Roman" w:cs="Times New Roman"/>
          <w:noProof/>
          <w:position w:val="-6"/>
        </w:rPr>
        <w:drawing>
          <wp:inline distT="0" distB="0" distL="0" distR="0" wp14:anchorId="5B21B1C9" wp14:editId="36AE573E">
            <wp:extent cx="95250" cy="123825"/>
            <wp:effectExtent l="0" t="0" r="0" b="9525"/>
            <wp:docPr id="11" name="Picture 11" descr="cid:image011.png@01D454F4.36D8A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11.png@01D454F4.36D8AC7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9B0">
        <w:rPr>
          <w:rFonts w:ascii="Times New Roman" w:hAnsi="Times New Roman" w:cs="Times New Roman"/>
        </w:rPr>
        <w:t xml:space="preserve"> in control resource set </w:t>
      </w:r>
      <w:r w:rsidRPr="005879B0">
        <w:rPr>
          <w:rFonts w:ascii="Times New Roman" w:hAnsi="Times New Roman" w:cs="Times New Roman"/>
          <w:noProof/>
          <w:position w:val="-10"/>
        </w:rPr>
        <w:drawing>
          <wp:inline distT="0" distB="0" distL="0" distR="0" wp14:anchorId="5955BC97" wp14:editId="4930C93E">
            <wp:extent cx="123825" cy="152400"/>
            <wp:effectExtent l="0" t="0" r="9525" b="0"/>
            <wp:docPr id="10" name="Picture 10" descr="cid:image020.png@01D454F4.36D8A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20.png@01D454F4.36D8AC7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9B0">
        <w:rPr>
          <w:rFonts w:ascii="Times New Roman" w:hAnsi="Times New Roman" w:cs="Times New Roman"/>
        </w:rPr>
        <w:t xml:space="preserve">, the UE determines that a PDCCH monitoring occasion(s) exists in a slot with number </w:t>
      </w:r>
      <w:r w:rsidRPr="005879B0">
        <w:rPr>
          <w:rFonts w:ascii="Times New Roman" w:hAnsi="Times New Roman" w:cs="Times New Roman"/>
          <w:noProof/>
          <w:position w:val="-12"/>
        </w:rPr>
        <w:drawing>
          <wp:inline distT="0" distB="0" distL="0" distR="0" wp14:anchorId="6FA527F0" wp14:editId="2DFA08EA">
            <wp:extent cx="209550" cy="219075"/>
            <wp:effectExtent l="0" t="0" r="0" b="9525"/>
            <wp:docPr id="9" name="Picture 9" descr="cid:image021.png@01D454F4.36D8A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21.png@01D454F4.36D8AC7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9B0">
        <w:rPr>
          <w:rFonts w:ascii="Times New Roman" w:hAnsi="Times New Roman" w:cs="Times New Roman"/>
        </w:rPr>
        <w:t xml:space="preserve"> [4, TS 38.211] in a frame with number </w:t>
      </w:r>
      <w:r w:rsidRPr="005879B0">
        <w:rPr>
          <w:rFonts w:ascii="Times New Roman" w:hAnsi="Times New Roman" w:cs="Times New Roman"/>
          <w:noProof/>
          <w:position w:val="-12"/>
        </w:rPr>
        <w:drawing>
          <wp:inline distT="0" distB="0" distL="0" distR="0" wp14:anchorId="6C34D40B" wp14:editId="41B79E6F">
            <wp:extent cx="171450" cy="219075"/>
            <wp:effectExtent l="0" t="0" r="0" b="9525"/>
            <wp:docPr id="8" name="Picture 8" descr="cid:image022.png@01D454F4.36D8A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22.png@01D454F4.36D8AC70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79B0">
        <w:rPr>
          <w:rFonts w:ascii="Times New Roman" w:hAnsi="Times New Roman" w:cs="Times New Roman"/>
        </w:rPr>
        <w:t xml:space="preserve"> if </w:t>
      </w:r>
      <w:r w:rsidRPr="005879B0">
        <w:rPr>
          <w:rFonts w:ascii="Times New Roman" w:hAnsi="Times New Roman" w:cs="Times New Roman"/>
          <w:noProof/>
          <w:position w:val="-12"/>
        </w:rPr>
        <w:drawing>
          <wp:inline distT="0" distB="0" distL="0" distR="0" wp14:anchorId="3C45ECA7" wp14:editId="6194A4D3">
            <wp:extent cx="1905000" cy="238125"/>
            <wp:effectExtent l="0" t="0" r="0" b="9525"/>
            <wp:docPr id="7" name="Picture 7" descr="cid:image023.png@01D454F4.36D8A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23.png@01D454F4.36D8AC70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9B0" w:rsidRPr="005879B0">
        <w:rPr>
          <w:rFonts w:ascii="Times New Roman" w:hAnsi="Times New Roman" w:cs="Times New Roman"/>
        </w:rPr>
        <w:t>.</w:t>
      </w:r>
    </w:p>
    <w:p w14:paraId="170FF3EC" w14:textId="2B517C76" w:rsidR="00BC445B" w:rsidRDefault="0047522B" w:rsidP="00BC445B">
      <w:pPr>
        <w:pStyle w:val="IvDbodytext"/>
      </w:pPr>
      <w:r w:rsidRPr="005879B0">
        <w:t xml:space="preserve">In this formula </w:t>
      </w:r>
      <w:proofErr w:type="spellStart"/>
      <w:proofErr w:type="gramStart"/>
      <w:r w:rsidRPr="005879B0">
        <w:rPr>
          <w:rFonts w:ascii="Times New Roman" w:hAnsi="Times New Roman" w:cs="Times New Roman"/>
          <w:i/>
          <w:iCs/>
        </w:rPr>
        <w:t>k</w:t>
      </w:r>
      <w:r w:rsidRPr="005879B0">
        <w:rPr>
          <w:rFonts w:ascii="Times New Roman" w:hAnsi="Times New Roman" w:cs="Times New Roman"/>
          <w:i/>
          <w:iCs/>
          <w:vertAlign w:val="subscript"/>
        </w:rPr>
        <w:t>p,s</w:t>
      </w:r>
      <w:proofErr w:type="spellEnd"/>
      <w:proofErr w:type="gramEnd"/>
      <w:r w:rsidRPr="005879B0">
        <w:t xml:space="preserve"> is the monitoring slot periodicity</w:t>
      </w:r>
      <w:r w:rsidR="00F11840">
        <w:t xml:space="preserve"> and </w:t>
      </w:r>
      <w:r w:rsidRPr="005879B0">
        <w:t xml:space="preserve"> </w:t>
      </w:r>
      <w:proofErr w:type="spellStart"/>
      <w:r w:rsidRPr="005879B0">
        <w:rPr>
          <w:rFonts w:ascii="Times New Roman" w:hAnsi="Times New Roman" w:cs="Times New Roman"/>
          <w:i/>
          <w:iCs/>
        </w:rPr>
        <w:t>o</w:t>
      </w:r>
      <w:r w:rsidRPr="005879B0">
        <w:rPr>
          <w:rFonts w:ascii="Times New Roman" w:hAnsi="Times New Roman" w:cs="Times New Roman"/>
          <w:i/>
          <w:iCs/>
          <w:vertAlign w:val="subscript"/>
        </w:rPr>
        <w:t>p,s</w:t>
      </w:r>
      <w:proofErr w:type="spellEnd"/>
      <w:r w:rsidRPr="005879B0">
        <w:t xml:space="preserve"> is the monitoring slot offset</w:t>
      </w:r>
      <w:r w:rsidR="00F11840">
        <w:t>.</w:t>
      </w:r>
    </w:p>
    <w:p w14:paraId="164079F2" w14:textId="472EF865" w:rsidR="00D40253" w:rsidRDefault="00D40253" w:rsidP="00BC445B">
      <w:pPr>
        <w:pStyle w:val="IvDbodytext"/>
        <w:rPr>
          <w:lang w:eastAsia="ko-KR"/>
        </w:rPr>
      </w:pPr>
      <w:r>
        <w:t xml:space="preserve">The </w:t>
      </w:r>
      <w:proofErr w:type="spellStart"/>
      <w:r w:rsidRPr="00433D0C">
        <w:rPr>
          <w:i/>
        </w:rPr>
        <w:t>pagingSearchSpace</w:t>
      </w:r>
      <w:proofErr w:type="spellEnd"/>
      <w:r>
        <w:t xml:space="preserve"> </w:t>
      </w:r>
      <w:r w:rsidR="00433D0C">
        <w:t>is a</w:t>
      </w:r>
      <w:r>
        <w:t xml:space="preserve"> </w:t>
      </w:r>
      <w:r w:rsidR="00433D0C">
        <w:t xml:space="preserve">continuously </w:t>
      </w:r>
      <w:r>
        <w:t xml:space="preserve">repetitive pattern of slots and symbols defining the PDCCH monitoring occasions. </w:t>
      </w:r>
      <w:r>
        <w:rPr>
          <w:lang w:eastAsia="ko-KR"/>
        </w:rPr>
        <w:t xml:space="preserve">Hence, if a radio frame is not evenly </w:t>
      </w:r>
      <w:r w:rsidR="00433D0C">
        <w:rPr>
          <w:lang w:eastAsia="ko-KR"/>
        </w:rPr>
        <w:t>divisible</w:t>
      </w:r>
      <w:r>
        <w:rPr>
          <w:lang w:eastAsia="ko-KR"/>
        </w:rPr>
        <w:t xml:space="preserve"> by the monitoring slot periodicity (as configured by the </w:t>
      </w:r>
      <w:proofErr w:type="spellStart"/>
      <w:r>
        <w:rPr>
          <w:i/>
          <w:iCs/>
        </w:rPr>
        <w:t>monitoringSlotPeriodicityAndOffset</w:t>
      </w:r>
      <w:proofErr w:type="spellEnd"/>
      <w:r>
        <w:rPr>
          <w:lang w:eastAsia="ko-KR"/>
        </w:rPr>
        <w:t xml:space="preserve"> parameter in the </w:t>
      </w:r>
      <w:proofErr w:type="spellStart"/>
      <w:r>
        <w:rPr>
          <w:i/>
          <w:iCs/>
          <w:lang w:eastAsia="ko-KR"/>
        </w:rPr>
        <w:t>pagingSearchSpace</w:t>
      </w:r>
      <w:proofErr w:type="spellEnd"/>
      <w:r>
        <w:rPr>
          <w:lang w:eastAsia="ko-KR"/>
        </w:rPr>
        <w:t>) and the slot monitoring periodicity is not a multiple of radio frame</w:t>
      </w:r>
      <w:r w:rsidR="00433D0C">
        <w:rPr>
          <w:lang w:eastAsia="ko-KR"/>
        </w:rPr>
        <w:t xml:space="preserve"> length</w:t>
      </w:r>
      <w:r>
        <w:rPr>
          <w:lang w:eastAsia="ko-KR"/>
        </w:rPr>
        <w:t xml:space="preserve">, the monitoring slot period will </w:t>
      </w:r>
      <w:r w:rsidR="00433D0C">
        <w:rPr>
          <w:lang w:eastAsia="ko-KR"/>
        </w:rPr>
        <w:t>glide</w:t>
      </w:r>
      <w:r>
        <w:rPr>
          <w:lang w:eastAsia="ko-KR"/>
        </w:rPr>
        <w:t xml:space="preserve"> in relation to frame boundaries, potentially resulting in different numbers of monitoring slots and POs in different PFs. For instance, if the operator wants 2 POs in each PF and wants them to be placed with a time distance between them that is greater than the duration of a half-frame but shorter than the duration of a full frame, then some PFs will have 2 POs and some will have </w:t>
      </w:r>
      <w:r w:rsidR="00790F2B">
        <w:rPr>
          <w:lang w:eastAsia="ko-KR"/>
        </w:rPr>
        <w:t xml:space="preserve">only </w:t>
      </w:r>
      <w:r>
        <w:rPr>
          <w:lang w:eastAsia="ko-KR"/>
        </w:rPr>
        <w:t xml:space="preserve">1. </w:t>
      </w:r>
      <w:r w:rsidR="00103F5E">
        <w:rPr>
          <w:lang w:eastAsia="ko-KR"/>
        </w:rPr>
        <w:t xml:space="preserve">It is then unclear what the appropriate setting of </w:t>
      </w:r>
      <w:r>
        <w:rPr>
          <w:lang w:eastAsia="ko-KR"/>
        </w:rPr>
        <w:t xml:space="preserve">Ns </w:t>
      </w:r>
      <w:r w:rsidR="00103F5E">
        <w:rPr>
          <w:lang w:eastAsia="ko-KR"/>
        </w:rPr>
        <w:t>be that</w:t>
      </w:r>
      <w:r>
        <w:rPr>
          <w:lang w:eastAsia="ko-KR"/>
        </w:rPr>
        <w:t xml:space="preserve"> indicates the number of POs in each PF</w:t>
      </w:r>
      <w:r w:rsidR="00103F5E">
        <w:rPr>
          <w:lang w:eastAsia="ko-KR"/>
        </w:rPr>
        <w:t>.</w:t>
      </w:r>
      <w:r>
        <w:rPr>
          <w:lang w:eastAsia="ko-KR"/>
        </w:rPr>
        <w:t xml:space="preserve"> </w:t>
      </w:r>
      <w:r w:rsidR="002F03AD">
        <w:rPr>
          <w:lang w:eastAsia="ko-KR"/>
        </w:rPr>
        <w:t xml:space="preserve">Even if </w:t>
      </w:r>
      <w:r w:rsidR="009E23D3">
        <w:rPr>
          <w:lang w:eastAsia="ko-KR"/>
        </w:rPr>
        <w:t xml:space="preserve">the Ns setting could be made unambiguous by letting the POs extend beyond the PF, the PDCCH monitoring slot pattern would be inconsistent between different PFs. </w:t>
      </w:r>
      <w:r>
        <w:rPr>
          <w:lang w:eastAsia="ko-KR"/>
        </w:rPr>
        <w:t xml:space="preserve">This scenario </w:t>
      </w:r>
      <w:r w:rsidR="00103F5E">
        <w:rPr>
          <w:lang w:eastAsia="ko-KR"/>
        </w:rPr>
        <w:t>conflicts</w:t>
      </w:r>
      <w:r>
        <w:rPr>
          <w:lang w:eastAsia="ko-KR"/>
        </w:rPr>
        <w:t xml:space="preserve"> with the current PO calculation formula and has </w:t>
      </w:r>
      <w:r w:rsidR="00103F5E">
        <w:rPr>
          <w:lang w:eastAsia="ko-KR"/>
        </w:rPr>
        <w:t>undesirable</w:t>
      </w:r>
      <w:r>
        <w:rPr>
          <w:lang w:eastAsia="ko-KR"/>
        </w:rPr>
        <w:t xml:space="preserve"> properties in general.</w:t>
      </w:r>
    </w:p>
    <w:p w14:paraId="6FFC059E" w14:textId="77777777" w:rsidR="0091093F" w:rsidRDefault="0091093F" w:rsidP="00BC445B">
      <w:pPr>
        <w:pStyle w:val="IvDbodytext"/>
        <w:rPr>
          <w:lang w:eastAsia="ko-KR"/>
        </w:rPr>
      </w:pPr>
    </w:p>
    <w:p w14:paraId="4C0EE388" w14:textId="59004EAF" w:rsidR="0047522B" w:rsidRDefault="0047522B" w:rsidP="0047522B">
      <w:pPr>
        <w:pStyle w:val="Observation"/>
        <w:rPr>
          <w:lang w:eastAsia="en-US"/>
        </w:rPr>
      </w:pPr>
      <w:r>
        <w:rPr>
          <w:lang w:eastAsia="ko-KR"/>
        </w:rPr>
        <w:t xml:space="preserve">The current method for computing paging PDCCH monitoring slots results in inconsistent temporal locations of </w:t>
      </w:r>
      <w:r w:rsidR="008C792D">
        <w:rPr>
          <w:lang w:eastAsia="ko-KR"/>
        </w:rPr>
        <w:t>paging occasions with</w:t>
      </w:r>
      <w:r>
        <w:rPr>
          <w:lang w:eastAsia="ko-KR"/>
        </w:rPr>
        <w:t xml:space="preserve">in </w:t>
      </w:r>
      <w:r w:rsidR="008C792D">
        <w:rPr>
          <w:lang w:eastAsia="ko-KR"/>
        </w:rPr>
        <w:t>paging frames</w:t>
      </w:r>
      <w:r>
        <w:rPr>
          <w:lang w:eastAsia="ko-KR"/>
        </w:rPr>
        <w:t xml:space="preserve">.  </w:t>
      </w:r>
    </w:p>
    <w:p w14:paraId="7B04C665" w14:textId="52D21ED5" w:rsidR="0047522B" w:rsidRPr="00AF3302" w:rsidRDefault="00103F5E" w:rsidP="00BC445B">
      <w:pPr>
        <w:pStyle w:val="BodyText"/>
      </w:pPr>
      <w:r>
        <w:t xml:space="preserve">In </w:t>
      </w:r>
      <w:r w:rsidR="00F11840">
        <w:fldChar w:fldCharType="begin"/>
      </w:r>
      <w:r w:rsidR="00F11840">
        <w:instrText xml:space="preserve"> REF _Ref525919962 \r \h </w:instrText>
      </w:r>
      <w:r w:rsidR="00F11840">
        <w:fldChar w:fldCharType="separate"/>
      </w:r>
      <w:r w:rsidR="00F11840">
        <w:t>[1]</w:t>
      </w:r>
      <w:r w:rsidR="00F11840">
        <w:fldChar w:fldCharType="end"/>
      </w:r>
      <w:r w:rsidRPr="004C6604">
        <w:t xml:space="preserve">, it has been </w:t>
      </w:r>
      <w:r w:rsidR="00D40253" w:rsidRPr="004C6604">
        <w:t xml:space="preserve">proposed to </w:t>
      </w:r>
      <w:r w:rsidRPr="004C6604">
        <w:t>solve</w:t>
      </w:r>
      <w:r w:rsidR="00D40253" w:rsidRPr="004C6604">
        <w:t xml:space="preserve"> this problem by restricting the flexibility in the configuration</w:t>
      </w:r>
      <w:r w:rsidR="00D40253" w:rsidRPr="00AF3302">
        <w:t xml:space="preserve"> of the monitoring slot periodicity so that it </w:t>
      </w:r>
      <w:proofErr w:type="gramStart"/>
      <w:r w:rsidR="00D40253" w:rsidRPr="00AF3302">
        <w:t>has to</w:t>
      </w:r>
      <w:proofErr w:type="gramEnd"/>
      <w:r w:rsidR="00D40253" w:rsidRPr="00AF3302">
        <w:t xml:space="preserve"> be a divisor or multiple of the duration of a frame. This </w:t>
      </w:r>
      <w:r w:rsidRPr="00AF3302">
        <w:t>solves the</w:t>
      </w:r>
      <w:r w:rsidR="00D40253" w:rsidRPr="00AF3302">
        <w:t xml:space="preserve"> problem</w:t>
      </w:r>
      <w:r w:rsidR="0047522B" w:rsidRPr="00AF3302">
        <w:t xml:space="preserve"> with PO </w:t>
      </w:r>
      <w:r w:rsidR="004D1B89">
        <w:t>s</w:t>
      </w:r>
      <w:r w:rsidR="0047522B" w:rsidRPr="00AF3302">
        <w:t xml:space="preserve">liding </w:t>
      </w:r>
      <w:r w:rsidR="004D1B89">
        <w:t xml:space="preserve">relative to the </w:t>
      </w:r>
      <w:r w:rsidR="0047522B" w:rsidRPr="00AF3302">
        <w:t xml:space="preserve">PF, </w:t>
      </w:r>
      <w:r w:rsidR="00D40253" w:rsidRPr="00AF3302">
        <w:t xml:space="preserve">but at the expense of freedom/flexibility </w:t>
      </w:r>
      <w:r w:rsidR="004D1B89">
        <w:t xml:space="preserve">in </w:t>
      </w:r>
      <w:r w:rsidR="00D40253" w:rsidRPr="00AF3302">
        <w:t xml:space="preserve">configuration. </w:t>
      </w:r>
    </w:p>
    <w:p w14:paraId="52DDE50B" w14:textId="1E215A8C" w:rsidR="00D40253" w:rsidRDefault="0047522B" w:rsidP="00BC445B">
      <w:pPr>
        <w:pStyle w:val="BodyText"/>
      </w:pPr>
      <w:r w:rsidRPr="00AF3302">
        <w:t>The</w:t>
      </w:r>
      <w:r w:rsidR="00D40253" w:rsidRPr="00AF3302">
        <w:t xml:space="preserve"> </w:t>
      </w:r>
      <w:r w:rsidRPr="00AF3302">
        <w:t xml:space="preserve">restriction resulting from the solution in </w:t>
      </w:r>
      <w:r w:rsidR="00F11840">
        <w:fldChar w:fldCharType="begin"/>
      </w:r>
      <w:r w:rsidR="00F11840">
        <w:instrText xml:space="preserve"> REF _Ref525919962 \r \h </w:instrText>
      </w:r>
      <w:r w:rsidR="00F11840">
        <w:fldChar w:fldCharType="separate"/>
      </w:r>
      <w:r w:rsidR="00F11840">
        <w:t>[1]</w:t>
      </w:r>
      <w:r w:rsidR="00F11840">
        <w:fldChar w:fldCharType="end"/>
      </w:r>
      <w:r w:rsidR="004D1B89">
        <w:t xml:space="preserve"> </w:t>
      </w:r>
      <w:r w:rsidRPr="004C6604">
        <w:t xml:space="preserve">appears unnecessary. An alternative and preferred solution </w:t>
      </w:r>
      <w:r w:rsidR="00D40253" w:rsidRPr="004C6604">
        <w:t xml:space="preserve">is to </w:t>
      </w:r>
      <w:r w:rsidR="0091093F">
        <w:t xml:space="preserve">instead of </w:t>
      </w:r>
      <w:r w:rsidR="004D1B89">
        <w:t xml:space="preserve">using </w:t>
      </w:r>
      <w:r w:rsidR="0091093F">
        <w:t xml:space="preserve">the absolute system frame number (SFN), </w:t>
      </w:r>
      <w:r w:rsidR="00D40253" w:rsidRPr="004C6604">
        <w:t xml:space="preserve">use the </w:t>
      </w:r>
      <w:r w:rsidR="0091093F">
        <w:t xml:space="preserve">relative frame offset to the </w:t>
      </w:r>
      <w:r w:rsidR="004D1B89">
        <w:t xml:space="preserve">PF </w:t>
      </w:r>
      <w:r w:rsidR="00D40253" w:rsidRPr="004C6604">
        <w:t xml:space="preserve">when calculating the monitoring slots </w:t>
      </w:r>
      <w:r w:rsidR="004D1B89">
        <w:t xml:space="preserve">in </w:t>
      </w:r>
      <w:r w:rsidR="00D40253" w:rsidRPr="00AF3302">
        <w:t xml:space="preserve">the above formula. </w:t>
      </w:r>
      <w:r w:rsidRPr="00AF3302">
        <w:t xml:space="preserve">This approach is usable since </w:t>
      </w:r>
      <w:r w:rsidR="004D1B89">
        <w:t xml:space="preserve">one is only </w:t>
      </w:r>
      <w:r w:rsidRPr="00AF3302">
        <w:t>interested in the monitoring slots and PDCCH monitoring occasions in relation to the</w:t>
      </w:r>
      <w:r>
        <w:t xml:space="preserve"> start of each PF. T</w:t>
      </w:r>
      <w:r w:rsidR="00D40253">
        <w:t xml:space="preserve">his simple rule will </w:t>
      </w:r>
      <w:r>
        <w:t>provide</w:t>
      </w:r>
      <w:r w:rsidR="00D40253">
        <w:t xml:space="preserve"> a consistent </w:t>
      </w:r>
      <w:r>
        <w:t xml:space="preserve">(same) </w:t>
      </w:r>
      <w:r w:rsidR="00D40253">
        <w:t xml:space="preserve">monitoring slot and PDCCH monitoring occasion </w:t>
      </w:r>
      <w:r w:rsidR="009154AD">
        <w:t xml:space="preserve">(PO) </w:t>
      </w:r>
      <w:r w:rsidR="00D40253">
        <w:t xml:space="preserve">pattern in every PF and </w:t>
      </w:r>
      <w:r>
        <w:t xml:space="preserve">eliminates the </w:t>
      </w:r>
      <w:r w:rsidR="004D1B89">
        <w:t>s</w:t>
      </w:r>
      <w:r>
        <w:t xml:space="preserve">liding </w:t>
      </w:r>
      <w:r w:rsidR="00D40253">
        <w:t xml:space="preserve">problem </w:t>
      </w:r>
      <w:r>
        <w:t>and the</w:t>
      </w:r>
      <w:r w:rsidR="00D40253">
        <w:t xml:space="preserve"> Ns ambiguity without restricting the configuration flexibility. </w:t>
      </w:r>
    </w:p>
    <w:p w14:paraId="16B4332D" w14:textId="03E4CC6F" w:rsidR="009154AD" w:rsidRDefault="004D1B89" w:rsidP="00E9266D">
      <w:pPr>
        <w:pStyle w:val="Proposal"/>
      </w:pPr>
      <w:bookmarkStart w:id="4" w:name="_Toc525924430"/>
      <w:bookmarkStart w:id="5" w:name="_Toc525924450"/>
      <w:r>
        <w:t xml:space="preserve">For computing </w:t>
      </w:r>
      <w:r w:rsidR="009154AD">
        <w:t>paging PDCCH monitoring slot indices</w:t>
      </w:r>
      <w:r>
        <w:t xml:space="preserve">, the relative position from the start of the paging frame is used. </w:t>
      </w:r>
      <w:r w:rsidR="00BC445B">
        <w:t xml:space="preserve">Agree </w:t>
      </w:r>
      <w:r w:rsidR="005629CF">
        <w:t xml:space="preserve">included </w:t>
      </w:r>
      <w:r w:rsidR="00BC445B">
        <w:t>text proposal.</w:t>
      </w:r>
      <w:bookmarkEnd w:id="4"/>
      <w:bookmarkEnd w:id="5"/>
    </w:p>
    <w:p w14:paraId="3A33823F" w14:textId="77777777" w:rsidR="00BC445B" w:rsidRDefault="00BC445B" w:rsidP="00FF5B1D">
      <w:pPr>
        <w:pStyle w:val="BodyText"/>
      </w:pPr>
    </w:p>
    <w:p w14:paraId="64F27976" w14:textId="220B6762" w:rsidR="00BC445B" w:rsidRPr="00F07E01" w:rsidRDefault="00BC445B" w:rsidP="00FF5B1D">
      <w:pPr>
        <w:pStyle w:val="BodyText"/>
        <w:rPr>
          <w:color w:val="FF0000"/>
        </w:rPr>
      </w:pPr>
      <w:r w:rsidRPr="00F07E01">
        <w:rPr>
          <w:color w:val="FF0000"/>
        </w:rPr>
        <w:t>&lt;&lt;&lt;&lt;&lt; Start TP 38.213, section 10.1 &gt;&gt;&gt;&gt;&gt;&gt;</w:t>
      </w:r>
    </w:p>
    <w:p w14:paraId="4902D0A5" w14:textId="36468DB1" w:rsidR="00F07E01" w:rsidRPr="0099222A" w:rsidRDefault="00F07E01" w:rsidP="0099222A">
      <w:pPr>
        <w:pStyle w:val="BodyText"/>
        <w:rPr>
          <w:rFonts w:ascii="Times New Roman" w:hAnsi="Times New Roman"/>
        </w:rPr>
      </w:pPr>
      <w:r w:rsidRPr="00F07E01">
        <w:rPr>
          <w:rFonts w:ascii="Times New Roman" w:hAnsi="Times New Roman"/>
          <w:lang w:eastAsia="en-US"/>
        </w:rPr>
        <w:t xml:space="preserve">A UE determines a PDCCH monitoring occasion from the PDCCH monitoring periodicity, the PDCCH monitoring offset, and the PDCCH monitoring pattern within a slot. </w:t>
      </w:r>
      <w:r w:rsidRPr="00F07E01">
        <w:rPr>
          <w:rFonts w:ascii="Times New Roman" w:eastAsia="Yu Mincho" w:hAnsi="Times New Roman"/>
          <w:lang w:eastAsia="en-US"/>
        </w:rPr>
        <w:t xml:space="preserve">For search space set </w:t>
      </w:r>
      <w:r w:rsidRPr="00F07E01">
        <w:rPr>
          <w:rFonts w:ascii="Times New Roman" w:hAnsi="Times New Roman"/>
          <w:position w:val="-6"/>
          <w:lang w:eastAsia="en-US"/>
        </w:rPr>
        <w:object w:dxaOrig="160" w:dyaOrig="200" w14:anchorId="5FD52D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pt;height:11pt" o:ole="">
            <v:imagedata r:id="rId20" o:title=""/>
          </v:shape>
          <o:OLEObject Type="Embed" ProgID="Equation.3" ShapeID="_x0000_i1025" DrawAspect="Content" ObjectID="_1599668323" r:id="rId21"/>
        </w:object>
      </w:r>
      <w:r w:rsidRPr="00F07E01">
        <w:rPr>
          <w:rFonts w:ascii="Times New Roman" w:eastAsia="Yu Mincho" w:hAnsi="Times New Roman"/>
          <w:lang w:eastAsia="en-US"/>
        </w:rPr>
        <w:t xml:space="preserve"> in control resource set </w:t>
      </w:r>
      <w:r w:rsidRPr="00F07E01">
        <w:rPr>
          <w:rFonts w:ascii="Times New Roman" w:hAnsi="Times New Roman"/>
          <w:position w:val="-10"/>
          <w:lang w:eastAsia="en-US"/>
        </w:rPr>
        <w:object w:dxaOrig="200" w:dyaOrig="240" w14:anchorId="102EE947">
          <v:shape id="_x0000_i1026" type="#_x0000_t75" style="width:11pt;height:12pt" o:ole="">
            <v:imagedata r:id="rId22" o:title=""/>
          </v:shape>
          <o:OLEObject Type="Embed" ProgID="Equation.3" ShapeID="_x0000_i1026" DrawAspect="Content" ObjectID="_1599668324" r:id="rId23"/>
        </w:object>
      </w:r>
      <w:r w:rsidRPr="00F07E01">
        <w:rPr>
          <w:rFonts w:ascii="Times New Roman" w:eastAsia="Yu Mincho" w:hAnsi="Times New Roman"/>
          <w:lang w:eastAsia="en-US"/>
        </w:rPr>
        <w:t xml:space="preserve">, </w:t>
      </w:r>
      <w:r w:rsidRPr="00F07E01">
        <w:rPr>
          <w:rFonts w:ascii="Times New Roman" w:eastAsia="Yu Mincho" w:hAnsi="Times New Roman"/>
          <w:color w:val="FF0000"/>
          <w:u w:val="single"/>
        </w:rPr>
        <w:t xml:space="preserve">if the search space set is not a </w:t>
      </w:r>
      <w:r w:rsidRPr="00F07E01">
        <w:rPr>
          <w:rFonts w:ascii="Times New Roman" w:hAnsi="Times New Roman"/>
          <w:color w:val="FF0000"/>
          <w:u w:val="single"/>
        </w:rPr>
        <w:t>Type2-PDCCH common search space</w:t>
      </w:r>
      <w:r w:rsidRPr="00F07E01">
        <w:rPr>
          <w:rFonts w:ascii="Times New Roman" w:eastAsia="Yu Mincho" w:hAnsi="Times New Roman"/>
          <w:color w:val="FF0000"/>
          <w:u w:val="single"/>
        </w:rPr>
        <w:t>,</w:t>
      </w:r>
      <w:r w:rsidRPr="00F07E01">
        <w:rPr>
          <w:rFonts w:eastAsia="Yu Mincho"/>
          <w:color w:val="FF0000"/>
          <w:u w:val="single"/>
        </w:rPr>
        <w:t xml:space="preserve"> </w:t>
      </w:r>
      <w:r w:rsidRPr="00F07E01">
        <w:rPr>
          <w:rFonts w:ascii="Times New Roman" w:eastAsia="Yu Mincho" w:hAnsi="Times New Roman"/>
          <w:lang w:eastAsia="en-US"/>
        </w:rPr>
        <w:t xml:space="preserve">the UE determines that a PDCCH monitoring occasion(s) exists in a slot with number </w:t>
      </w:r>
      <w:r w:rsidRPr="00F07E01">
        <w:rPr>
          <w:rFonts w:ascii="Times New Roman" w:hAnsi="Times New Roman"/>
          <w:position w:val="-12"/>
          <w:lang w:eastAsia="en-US"/>
        </w:rPr>
        <w:object w:dxaOrig="320" w:dyaOrig="360" w14:anchorId="72B8052F">
          <v:shape id="_x0000_i1027" type="#_x0000_t75" style="width:17pt;height:17.5pt" o:ole="">
            <v:imagedata r:id="rId24" o:title=""/>
          </v:shape>
          <o:OLEObject Type="Embed" ProgID="Equation.3" ShapeID="_x0000_i1027" DrawAspect="Content" ObjectID="_1599668325" r:id="rId25"/>
        </w:object>
      </w:r>
      <w:r w:rsidRPr="00F07E01">
        <w:rPr>
          <w:rFonts w:ascii="Times New Roman" w:hAnsi="Times New Roman"/>
          <w:lang w:eastAsia="en-US"/>
        </w:rPr>
        <w:t xml:space="preserve"> [4, TS 38.211] in a frame with number </w:t>
      </w:r>
      <w:r w:rsidRPr="00F07E01">
        <w:rPr>
          <w:rFonts w:ascii="Times New Roman" w:hAnsi="Times New Roman"/>
          <w:position w:val="-12"/>
          <w:lang w:eastAsia="en-US"/>
        </w:rPr>
        <w:object w:dxaOrig="260" w:dyaOrig="360" w14:anchorId="18ABC55A">
          <v:shape id="_x0000_i1028" type="#_x0000_t75" style="width:13pt;height:17.5pt" o:ole="">
            <v:imagedata r:id="rId26" o:title=""/>
          </v:shape>
          <o:OLEObject Type="Embed" ProgID="Equation.3" ShapeID="_x0000_i1028" DrawAspect="Content" ObjectID="_1599668326" r:id="rId27"/>
        </w:object>
      </w:r>
      <w:r w:rsidRPr="00F07E01">
        <w:rPr>
          <w:rFonts w:ascii="Times New Roman" w:hAnsi="Times New Roman"/>
          <w:lang w:eastAsia="en-US"/>
        </w:rPr>
        <w:t xml:space="preserve"> if </w:t>
      </w:r>
      <w:r w:rsidRPr="0099222A">
        <w:rPr>
          <w:rFonts w:ascii="Times New Roman" w:hAnsi="Times New Roman"/>
          <w:position w:val="-12"/>
          <w:lang w:eastAsia="en-US"/>
        </w:rPr>
        <w:object w:dxaOrig="2960" w:dyaOrig="360" w14:anchorId="10BEC91E">
          <v:shape id="_x0000_i1029" type="#_x0000_t75" style="width:148pt;height:18.5pt" o:ole="">
            <v:imagedata r:id="rId28" o:title=""/>
          </v:shape>
          <o:OLEObject Type="Embed" ProgID="Equation.3" ShapeID="_x0000_i1029" DrawAspect="Content" ObjectID="_1599668327" r:id="rId29"/>
        </w:object>
      </w:r>
      <w:r w:rsidRPr="0099222A">
        <w:rPr>
          <w:rFonts w:ascii="Times New Roman" w:hAnsi="Times New Roman"/>
          <w:lang w:eastAsia="en-US"/>
        </w:rPr>
        <w:t>.</w:t>
      </w:r>
      <w:r w:rsidR="0099222A" w:rsidRPr="0099222A">
        <w:rPr>
          <w:rFonts w:ascii="Times New Roman" w:hAnsi="Times New Roman"/>
          <w:lang w:eastAsia="en-US"/>
        </w:rPr>
        <w:t xml:space="preserve"> </w:t>
      </w:r>
      <w:r w:rsidR="0099222A" w:rsidRPr="0099222A">
        <w:rPr>
          <w:rFonts w:ascii="Times New Roman" w:hAnsi="Times New Roman"/>
          <w:color w:val="FF0000"/>
          <w:u w:val="single"/>
        </w:rPr>
        <w:t xml:space="preserve">If </w:t>
      </w:r>
      <w:r w:rsidRPr="0099222A">
        <w:rPr>
          <w:rFonts w:ascii="Times New Roman" w:hAnsi="Times New Roman"/>
          <w:color w:val="FF0000"/>
          <w:u w:val="single"/>
        </w:rPr>
        <w:t xml:space="preserve">the search space set is a Type2-PDCCH common search space set, </w:t>
      </w:r>
      <w:r w:rsidRPr="0099222A">
        <w:rPr>
          <w:rFonts w:ascii="Times New Roman" w:eastAsia="Yu Mincho" w:hAnsi="Times New Roman"/>
          <w:color w:val="FF0000"/>
          <w:u w:val="single"/>
        </w:rPr>
        <w:t xml:space="preserve">the UE determines that a PDCCH monitoring occasion(s) exists </w:t>
      </w:r>
      <w:r w:rsidRPr="0099222A">
        <w:rPr>
          <w:rFonts w:ascii="Times New Roman" w:eastAsia="Yu Mincho" w:hAnsi="Times New Roman"/>
          <w:color w:val="FF0000"/>
          <w:u w:val="single"/>
        </w:rPr>
        <w:lastRenderedPageBreak/>
        <w:t xml:space="preserve">in a slot with number </w:t>
      </w:r>
      <w:r w:rsidRPr="0099222A">
        <w:rPr>
          <w:rFonts w:ascii="Times New Roman" w:hAnsi="Times New Roman"/>
          <w:color w:val="FF0000"/>
          <w:position w:val="-12"/>
          <w:u w:val="single"/>
        </w:rPr>
        <w:object w:dxaOrig="320" w:dyaOrig="360" w14:anchorId="0479810C">
          <v:shape id="_x0000_i1030" type="#_x0000_t75" style="width:16.5pt;height:17pt" o:ole="">
            <v:imagedata r:id="rId30" o:title=""/>
          </v:shape>
          <o:OLEObject Type="Embed" ProgID="Equation.3" ShapeID="_x0000_i1030" DrawAspect="Content" ObjectID="_1599668328" r:id="rId31"/>
        </w:object>
      </w:r>
      <w:r w:rsidRPr="0099222A">
        <w:rPr>
          <w:rFonts w:ascii="Times New Roman" w:hAnsi="Times New Roman"/>
          <w:color w:val="FF0000"/>
          <w:u w:val="single"/>
        </w:rPr>
        <w:t xml:space="preserve">  in a frame with number </w:t>
      </w:r>
      <w:r w:rsidRPr="0099222A">
        <w:rPr>
          <w:rFonts w:ascii="Times New Roman" w:hAnsi="Times New Roman"/>
          <w:color w:val="FF0000"/>
          <w:position w:val="-12"/>
          <w:u w:val="single"/>
        </w:rPr>
        <w:object w:dxaOrig="260" w:dyaOrig="360" w14:anchorId="44585BA3">
          <v:shape id="_x0000_i1031" type="#_x0000_t75" style="width:13.5pt;height:17pt" o:ole="">
            <v:imagedata r:id="rId32" o:title=""/>
          </v:shape>
          <o:OLEObject Type="Embed" ProgID="Equation.3" ShapeID="_x0000_i1031" DrawAspect="Content" ObjectID="_1599668329" r:id="rId33"/>
        </w:object>
      </w:r>
      <w:r w:rsidRPr="0099222A">
        <w:rPr>
          <w:rFonts w:ascii="Times New Roman" w:hAnsi="Times New Roman"/>
          <w:color w:val="FF0000"/>
          <w:u w:val="single"/>
        </w:rPr>
        <w:t xml:space="preserve"> </w:t>
      </w:r>
      <w:r w:rsidRPr="001348FA">
        <w:rPr>
          <w:rFonts w:ascii="Times New Roman" w:hAnsi="Times New Roman"/>
          <w:color w:val="FF0000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color w:val="FF000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PF</m:t>
                    </m:r>
                  </m:sub>
                </m:sSub>
              </m:e>
            </m:d>
            <m:r>
              <w:rPr>
                <w:rFonts w:ascii="Cambria Math" w:hAnsi="Cambria Math"/>
                <w:color w:val="FF0000"/>
              </w:rPr>
              <m:t>∙</m:t>
            </m:r>
            <m:sSubSup>
              <m:sSub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Sup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slot</m:t>
                </m:r>
              </m:sub>
              <m:sup>
                <m:r>
                  <w:rPr>
                    <w:rFonts w:ascii="Cambria Math" w:hAnsi="Cambria Math"/>
                    <w:color w:val="FF0000"/>
                  </w:rPr>
                  <m:t>frame,μ</m:t>
                </m:r>
              </m:sup>
            </m:sSubSup>
            <m:r>
              <w:rPr>
                <w:rFonts w:ascii="Cambria Math" w:hAnsi="Cambria Math"/>
                <w:color w:val="FF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Sup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s,f</m:t>
                </m:r>
              </m:sub>
              <m:sup>
                <m:r>
                  <w:rPr>
                    <w:rFonts w:ascii="Cambria Math" w:hAnsi="Cambria Math"/>
                    <w:color w:val="FF0000"/>
                  </w:rPr>
                  <m:t>μ</m:t>
                </m:r>
              </m:sup>
            </m:sSubSup>
            <m:r>
              <w:rPr>
                <w:rFonts w:ascii="Cambria Math" w:hAnsi="Cambria Math"/>
                <w:color w:val="FF000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o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>mod</m:t>
        </m:r>
        <m:r>
          <w:rPr>
            <w:rFonts w:ascii="Cambria Math" w:hAnsi="Cambria Math"/>
            <w:color w:val="FF000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k</m:t>
            </m:r>
          </m:e>
          <m:sub>
            <m:r>
              <w:rPr>
                <w:rFonts w:ascii="Cambria Math" w:hAnsi="Cambria Math"/>
                <w:color w:val="FF0000"/>
              </w:rPr>
              <m:t>p,s</m:t>
            </m:r>
          </m:sub>
        </m:sSub>
        <m:r>
          <w:rPr>
            <w:rFonts w:ascii="Cambria Math" w:hAnsi="Cambria Math"/>
            <w:color w:val="FF0000"/>
          </w:rPr>
          <m:t>=0</m:t>
        </m:r>
      </m:oMath>
      <w:r w:rsidR="0099222A">
        <w:rPr>
          <w:rFonts w:ascii="Times New Roman" w:hAnsi="Times New Roman"/>
          <w:color w:val="FF0000"/>
          <w:u w:val="single"/>
        </w:rPr>
        <w:t>, wh</w:t>
      </w:r>
      <w:r w:rsidRPr="0099222A">
        <w:rPr>
          <w:rFonts w:ascii="Times New Roman" w:hAnsi="Times New Roman"/>
          <w:color w:val="FF0000"/>
          <w:u w:val="single"/>
        </w:rPr>
        <w:t xml:space="preserve">ere </w:t>
      </w:r>
      <m:oMath>
        <m:sSub>
          <m:sSubPr>
            <m:ctrlPr>
              <w:rPr>
                <w:rFonts w:ascii="Cambria Math" w:hAnsi="Cambria Math"/>
                <w:i/>
                <w:color w:val="FF0000"/>
                <w:u w:val="single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u w:val="single"/>
              </w:rPr>
              <m:t>PF</m:t>
            </m:r>
          </m:sub>
        </m:sSub>
      </m:oMath>
      <w:r w:rsidRPr="0099222A">
        <w:rPr>
          <w:rFonts w:ascii="Times New Roman" w:hAnsi="Times New Roman"/>
          <w:color w:val="FF0000"/>
          <w:u w:val="single"/>
        </w:rPr>
        <w:t xml:space="preserve"> is the frame number of the </w:t>
      </w:r>
      <w:r w:rsidR="0099222A">
        <w:rPr>
          <w:rFonts w:ascii="Times New Roman" w:hAnsi="Times New Roman"/>
          <w:color w:val="FF0000"/>
          <w:u w:val="single"/>
        </w:rPr>
        <w:t>paging frame (PF) [14, TS 38.304]</w:t>
      </w:r>
      <w:r w:rsidRPr="0099222A">
        <w:rPr>
          <w:rFonts w:ascii="Times New Roman" w:hAnsi="Times New Roman"/>
          <w:color w:val="FF0000"/>
          <w:u w:val="single"/>
        </w:rPr>
        <w:t>for which the calculation is applied.</w:t>
      </w:r>
    </w:p>
    <w:p w14:paraId="3A490A01" w14:textId="59D06566" w:rsidR="00F07E01" w:rsidRDefault="00F07E01" w:rsidP="00F07E01">
      <w:pPr>
        <w:pStyle w:val="BodyText"/>
        <w:rPr>
          <w:rFonts w:ascii="Times New Roman" w:hAnsi="Times New Roman"/>
          <w:lang w:eastAsia="en-US"/>
        </w:rPr>
      </w:pPr>
    </w:p>
    <w:p w14:paraId="2A89D400" w14:textId="1AC8212A" w:rsidR="00F07E01" w:rsidRDefault="00F07E01" w:rsidP="00F07E01">
      <w:pPr>
        <w:pStyle w:val="BodyText"/>
        <w:rPr>
          <w:rFonts w:ascii="Times New Roman" w:hAnsi="Times New Roman"/>
          <w:lang w:eastAsia="en-US"/>
        </w:rPr>
      </w:pPr>
      <w:r w:rsidRPr="00F07E01">
        <w:rPr>
          <w:rFonts w:ascii="Times New Roman" w:eastAsia="Yu Mincho" w:hAnsi="Times New Roman"/>
          <w:lang w:eastAsia="ja-JP"/>
        </w:rPr>
        <w:t xml:space="preserve">If the UE is provided higher layer parameter </w:t>
      </w:r>
      <w:r w:rsidRPr="00F07E01">
        <w:rPr>
          <w:rFonts w:ascii="Times New Roman" w:eastAsia="Yu Mincho" w:hAnsi="Times New Roman"/>
          <w:i/>
          <w:lang w:eastAsia="ja-JP"/>
        </w:rPr>
        <w:t>duration</w:t>
      </w:r>
      <w:r w:rsidRPr="00F07E01">
        <w:rPr>
          <w:rFonts w:ascii="Times New Roman" w:eastAsia="Yu Mincho" w:hAnsi="Times New Roman"/>
          <w:lang w:eastAsia="ja-JP"/>
        </w:rPr>
        <w:t xml:space="preserve">, the UE monitors PDCCH for search space set </w:t>
      </w:r>
      <w:r w:rsidRPr="00F07E01">
        <w:rPr>
          <w:rFonts w:ascii="Times New Roman" w:hAnsi="Times New Roman"/>
          <w:position w:val="-6"/>
          <w:lang w:eastAsia="en-US"/>
        </w:rPr>
        <w:object w:dxaOrig="160" w:dyaOrig="200" w14:anchorId="023638F4">
          <v:shape id="_x0000_i1032" type="#_x0000_t75" style="width:8pt;height:11pt" o:ole="">
            <v:imagedata r:id="rId34" o:title=""/>
          </v:shape>
          <o:OLEObject Type="Embed" ProgID="Equation.3" ShapeID="_x0000_i1032" DrawAspect="Content" ObjectID="_1599668330" r:id="rId35"/>
        </w:object>
      </w:r>
      <w:r w:rsidRPr="00F07E01">
        <w:rPr>
          <w:rFonts w:ascii="Times New Roman" w:eastAsia="Yu Mincho" w:hAnsi="Times New Roman"/>
          <w:lang w:eastAsia="en-US"/>
        </w:rPr>
        <w:t xml:space="preserve"> in control resource set </w:t>
      </w:r>
      <w:r w:rsidRPr="00F07E01">
        <w:rPr>
          <w:rFonts w:ascii="Times New Roman" w:hAnsi="Times New Roman"/>
          <w:position w:val="-10"/>
          <w:lang w:eastAsia="en-US"/>
        </w:rPr>
        <w:object w:dxaOrig="200" w:dyaOrig="240" w14:anchorId="75338CD4">
          <v:shape id="_x0000_i1033" type="#_x0000_t75" style="width:11pt;height:12pt" o:ole="">
            <v:imagedata r:id="rId22" o:title=""/>
          </v:shape>
          <o:OLEObject Type="Embed" ProgID="Equation.3" ShapeID="_x0000_i1033" DrawAspect="Content" ObjectID="_1599668331" r:id="rId36"/>
        </w:object>
      </w:r>
      <w:r w:rsidRPr="00F07E01">
        <w:rPr>
          <w:rFonts w:ascii="Times New Roman" w:hAnsi="Times New Roman"/>
          <w:lang w:eastAsia="en-US"/>
        </w:rPr>
        <w:t xml:space="preserve"> for </w:t>
      </w:r>
      <w:r w:rsidRPr="00F07E01">
        <w:rPr>
          <w:rFonts w:ascii="Times New Roman" w:hAnsi="Times New Roman"/>
          <w:position w:val="-12"/>
          <w:lang w:eastAsia="en-US"/>
        </w:rPr>
        <w:object w:dxaOrig="340" w:dyaOrig="320" w14:anchorId="55AE96F4">
          <v:shape id="_x0000_i1034" type="#_x0000_t75" style="width:17.5pt;height:16pt" o:ole="">
            <v:imagedata r:id="rId37" o:title=""/>
          </v:shape>
          <o:OLEObject Type="Embed" ProgID="Equation.3" ShapeID="_x0000_i1034" DrawAspect="Content" ObjectID="_1599668332" r:id="rId38"/>
        </w:object>
      </w:r>
      <w:r w:rsidRPr="00F07E01">
        <w:rPr>
          <w:rFonts w:ascii="Times New Roman" w:hAnsi="Times New Roman"/>
          <w:lang w:eastAsia="en-US"/>
        </w:rPr>
        <w:t xml:space="preserve"> consecutive slots, starting from slot </w:t>
      </w:r>
      <w:r w:rsidRPr="00F07E01">
        <w:rPr>
          <w:rFonts w:ascii="Times New Roman" w:hAnsi="Times New Roman"/>
          <w:position w:val="-12"/>
          <w:lang w:eastAsia="en-US"/>
        </w:rPr>
        <w:object w:dxaOrig="320" w:dyaOrig="360" w14:anchorId="25E1FBD0">
          <v:shape id="_x0000_i1035" type="#_x0000_t75" style="width:17pt;height:17.5pt" o:ole="">
            <v:imagedata r:id="rId30" o:title=""/>
          </v:shape>
          <o:OLEObject Type="Embed" ProgID="Equation.3" ShapeID="_x0000_i1035" DrawAspect="Content" ObjectID="_1599668333" r:id="rId39"/>
        </w:object>
      </w:r>
      <w:r w:rsidRPr="00F07E01">
        <w:rPr>
          <w:rFonts w:ascii="Times New Roman" w:hAnsi="Times New Roman"/>
          <w:lang w:eastAsia="en-US"/>
        </w:rPr>
        <w:t xml:space="preserve">, and does not monitor </w:t>
      </w:r>
      <w:r w:rsidRPr="00F07E01">
        <w:rPr>
          <w:rFonts w:ascii="Times New Roman" w:eastAsia="Yu Mincho" w:hAnsi="Times New Roman"/>
          <w:lang w:eastAsia="ja-JP"/>
        </w:rPr>
        <w:t xml:space="preserve">PDCCH for search space set </w:t>
      </w:r>
      <w:r w:rsidRPr="00F07E01">
        <w:rPr>
          <w:rFonts w:ascii="Times New Roman" w:hAnsi="Times New Roman"/>
          <w:position w:val="-6"/>
          <w:lang w:eastAsia="en-US"/>
        </w:rPr>
        <w:object w:dxaOrig="160" w:dyaOrig="200" w14:anchorId="698626FD">
          <v:shape id="_x0000_i1036" type="#_x0000_t75" style="width:8pt;height:11pt" o:ole="">
            <v:imagedata r:id="rId40" o:title=""/>
          </v:shape>
          <o:OLEObject Type="Embed" ProgID="Equation.3" ShapeID="_x0000_i1036" DrawAspect="Content" ObjectID="_1599668334" r:id="rId41"/>
        </w:object>
      </w:r>
      <w:r w:rsidRPr="00F07E01">
        <w:rPr>
          <w:rFonts w:ascii="Times New Roman" w:eastAsia="Yu Mincho" w:hAnsi="Times New Roman"/>
          <w:lang w:eastAsia="en-US"/>
        </w:rPr>
        <w:t xml:space="preserve"> in control resource set </w:t>
      </w:r>
      <w:r w:rsidRPr="00F07E01">
        <w:rPr>
          <w:rFonts w:ascii="Times New Roman" w:hAnsi="Times New Roman"/>
          <w:position w:val="-10"/>
          <w:lang w:eastAsia="en-US"/>
        </w:rPr>
        <w:object w:dxaOrig="200" w:dyaOrig="240" w14:anchorId="5A929C3D">
          <v:shape id="_x0000_i1037" type="#_x0000_t75" style="width:11pt;height:12pt" o:ole="">
            <v:imagedata r:id="rId22" o:title=""/>
          </v:shape>
          <o:OLEObject Type="Embed" ProgID="Equation.3" ShapeID="_x0000_i1037" DrawAspect="Content" ObjectID="_1599668335" r:id="rId42"/>
        </w:object>
      </w:r>
      <w:r w:rsidRPr="00F07E01">
        <w:rPr>
          <w:rFonts w:ascii="Times New Roman" w:hAnsi="Times New Roman"/>
          <w:lang w:eastAsia="en-US"/>
        </w:rPr>
        <w:t xml:space="preserve"> for the next </w:t>
      </w:r>
      <w:r w:rsidRPr="00F07E01">
        <w:rPr>
          <w:rFonts w:ascii="Times New Roman" w:hAnsi="Times New Roman"/>
          <w:position w:val="-12"/>
          <w:lang w:eastAsia="en-US"/>
        </w:rPr>
        <w:object w:dxaOrig="800" w:dyaOrig="320" w14:anchorId="4580B251">
          <v:shape id="_x0000_i1038" type="#_x0000_t75" style="width:41pt;height:16pt" o:ole="">
            <v:imagedata r:id="rId43" o:title=""/>
          </v:shape>
          <o:OLEObject Type="Embed" ProgID="Equation.3" ShapeID="_x0000_i1038" DrawAspect="Content" ObjectID="_1599668336" r:id="rId44"/>
        </w:object>
      </w:r>
      <w:r w:rsidRPr="00F07E01">
        <w:rPr>
          <w:rFonts w:ascii="Times New Roman" w:hAnsi="Times New Roman"/>
          <w:lang w:eastAsia="en-US"/>
        </w:rPr>
        <w:t xml:space="preserve"> consecutive slots.  </w:t>
      </w:r>
    </w:p>
    <w:p w14:paraId="2A6FFF64" w14:textId="72B47ACD" w:rsidR="001348FA" w:rsidRPr="00F07E01" w:rsidRDefault="001348FA" w:rsidP="001348FA">
      <w:pPr>
        <w:pStyle w:val="BodyText"/>
        <w:rPr>
          <w:color w:val="FF0000"/>
        </w:rPr>
      </w:pPr>
      <w:r w:rsidRPr="00F07E01">
        <w:rPr>
          <w:color w:val="FF0000"/>
        </w:rPr>
        <w:t>&lt;&lt;&lt;&lt;&lt;</w:t>
      </w:r>
      <w:r w:rsidR="00C90E58">
        <w:rPr>
          <w:color w:val="FF0000"/>
        </w:rPr>
        <w:t xml:space="preserve"> End</w:t>
      </w:r>
      <w:r w:rsidRPr="00F07E01">
        <w:rPr>
          <w:color w:val="FF0000"/>
        </w:rPr>
        <w:t xml:space="preserve"> TP 38.213, section 10.1 &gt;&gt;&gt;&gt;&gt;&gt;</w:t>
      </w:r>
    </w:p>
    <w:p w14:paraId="0AAD039B" w14:textId="77777777" w:rsidR="001348FA" w:rsidRDefault="001348FA" w:rsidP="00F07E01">
      <w:pPr>
        <w:pStyle w:val="BodyText"/>
      </w:pPr>
    </w:p>
    <w:p w14:paraId="6B223788" w14:textId="0D8E19F2" w:rsidR="00FF5B1D" w:rsidRPr="00FF5B1D" w:rsidRDefault="00FF5B1D" w:rsidP="00440656">
      <w:pPr>
        <w:pStyle w:val="Heading1"/>
      </w:pPr>
      <w:r>
        <w:t xml:space="preserve">5 </w:t>
      </w:r>
      <w:r>
        <w:tab/>
      </w:r>
      <w:r w:rsidR="00440656">
        <w:tab/>
        <w:t>Conclusions</w:t>
      </w:r>
    </w:p>
    <w:p w14:paraId="1FF18527" w14:textId="77777777" w:rsidR="00EB55E4" w:rsidRDefault="00EB55E4" w:rsidP="00EB55E4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90C87EB" w14:textId="77777777" w:rsidR="008C792D" w:rsidRPr="008C792D" w:rsidRDefault="008C792D">
      <w:pPr>
        <w:pStyle w:val="TOC1"/>
        <w:rPr>
          <w:rFonts w:ascii="Arial" w:eastAsiaTheme="minorEastAsia" w:hAnsi="Arial" w:cs="Arial"/>
          <w:b/>
          <w:sz w:val="20"/>
          <w:lang w:val="en-US" w:eastAsia="en-US"/>
        </w:rPr>
      </w:pPr>
      <w:r w:rsidRPr="008C792D">
        <w:rPr>
          <w:rFonts w:ascii="Arial" w:hAnsi="Arial" w:cs="Arial"/>
          <w:b/>
          <w:sz w:val="20"/>
        </w:rPr>
        <w:fldChar w:fldCharType="begin"/>
      </w:r>
      <w:r w:rsidRPr="008C792D">
        <w:rPr>
          <w:rFonts w:ascii="Arial" w:hAnsi="Arial" w:cs="Arial"/>
          <w:b/>
          <w:sz w:val="20"/>
        </w:rPr>
        <w:instrText xml:space="preserve"> TOC \o "9-9" \n \t "Proposal,1" </w:instrText>
      </w:r>
      <w:r w:rsidRPr="008C792D">
        <w:rPr>
          <w:rFonts w:ascii="Arial" w:hAnsi="Arial" w:cs="Arial"/>
          <w:b/>
          <w:sz w:val="20"/>
        </w:rPr>
        <w:fldChar w:fldCharType="separate"/>
      </w:r>
      <w:r w:rsidRPr="008C792D">
        <w:rPr>
          <w:rFonts w:ascii="Arial" w:hAnsi="Arial" w:cs="Arial"/>
          <w:b/>
          <w:sz w:val="20"/>
        </w:rPr>
        <w:t>Proposal 1</w:t>
      </w:r>
      <w:r w:rsidRPr="008C792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8C792D">
        <w:rPr>
          <w:rFonts w:ascii="Arial" w:hAnsi="Arial" w:cs="Arial"/>
          <w:b/>
          <w:sz w:val="20"/>
        </w:rPr>
        <w:t>The notation for the maximum number of SS/PBCH beams in an SS/PBCH period should be harmonized in 38.211, 38.212 and 38.213. Which term to use can be agreed by the editors.</w:t>
      </w:r>
    </w:p>
    <w:p w14:paraId="60C7098D" w14:textId="77777777" w:rsidR="008C792D" w:rsidRPr="008C792D" w:rsidRDefault="008C792D">
      <w:pPr>
        <w:pStyle w:val="TOC1"/>
        <w:rPr>
          <w:rFonts w:ascii="Arial" w:eastAsiaTheme="minorEastAsia" w:hAnsi="Arial" w:cs="Arial"/>
          <w:b/>
          <w:sz w:val="20"/>
          <w:lang w:val="en-US" w:eastAsia="en-US"/>
        </w:rPr>
      </w:pPr>
      <w:r w:rsidRPr="008C792D">
        <w:rPr>
          <w:rFonts w:ascii="Arial" w:hAnsi="Arial" w:cs="Arial"/>
          <w:b/>
          <w:sz w:val="20"/>
        </w:rPr>
        <w:t>Proposal 2</w:t>
      </w:r>
      <w:r w:rsidRPr="008C792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8C792D">
        <w:rPr>
          <w:rFonts w:ascii="Arial" w:hAnsi="Arial" w:cs="Arial"/>
          <w:b/>
          <w:sz w:val="20"/>
        </w:rPr>
        <w:t>For computing paging PDCCH monitoring slot indices, the relative position from the start of the paging frame is used. Agree included text proposal.</w:t>
      </w:r>
    </w:p>
    <w:p w14:paraId="4D60436A" w14:textId="5F9D1A73" w:rsidR="00C01F33" w:rsidRPr="00CE0424" w:rsidRDefault="008C792D" w:rsidP="008C792D">
      <w:pPr>
        <w:pStyle w:val="BodyText"/>
      </w:pPr>
      <w:r w:rsidRPr="008C792D">
        <w:rPr>
          <w:rFonts w:cs="Arial"/>
          <w:b/>
        </w:rPr>
        <w:fldChar w:fldCharType="end"/>
      </w:r>
    </w:p>
    <w:p w14:paraId="0107106E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5AE097D4" w14:textId="6A8B6576" w:rsidR="00AF3302" w:rsidRPr="00CE0424" w:rsidRDefault="001348FA" w:rsidP="001348FA">
      <w:pPr>
        <w:pStyle w:val="Reference"/>
      </w:pPr>
      <w:bookmarkStart w:id="7" w:name="_Ref174151459"/>
      <w:bookmarkStart w:id="8" w:name="_Ref189809556"/>
      <w:bookmarkStart w:id="9" w:name="_Ref525919962"/>
      <w:r w:rsidRPr="001348FA">
        <w:t>R2- 1811751</w:t>
      </w:r>
      <w:r>
        <w:t xml:space="preserve">, </w:t>
      </w:r>
      <w:bookmarkEnd w:id="7"/>
      <w:bookmarkEnd w:id="8"/>
      <w:r>
        <w:t xml:space="preserve">“Remaining issues for PO”, </w:t>
      </w:r>
      <w:r w:rsidRPr="001348FA">
        <w:t>LG Electronics Inc.</w:t>
      </w:r>
      <w:bookmarkEnd w:id="9"/>
    </w:p>
    <w:sectPr w:rsidR="00AF3302" w:rsidRPr="00CE0424" w:rsidSect="00C473A5">
      <w:headerReference w:type="even" r:id="rId45"/>
      <w:footerReference w:type="default" r:id="rId4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73EEF" w14:textId="77777777" w:rsidR="00683787" w:rsidRDefault="00683787">
      <w:r>
        <w:separator/>
      </w:r>
    </w:p>
  </w:endnote>
  <w:endnote w:type="continuationSeparator" w:id="0">
    <w:p w14:paraId="68566DB8" w14:textId="77777777" w:rsidR="00683787" w:rsidRDefault="00683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8F5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5F69A" w14:textId="77777777" w:rsidR="00683787" w:rsidRDefault="00683787">
      <w:r>
        <w:separator/>
      </w:r>
    </w:p>
  </w:footnote>
  <w:footnote w:type="continuationSeparator" w:id="0">
    <w:p w14:paraId="315DA92D" w14:textId="77777777" w:rsidR="00683787" w:rsidRDefault="00683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BB8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41AC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7C19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322"/>
    <w:rsid w:val="000325B8"/>
    <w:rsid w:val="00034C15"/>
    <w:rsid w:val="00036BA1"/>
    <w:rsid w:val="000422E2"/>
    <w:rsid w:val="00042F22"/>
    <w:rsid w:val="000444EF"/>
    <w:rsid w:val="00050C46"/>
    <w:rsid w:val="00052A07"/>
    <w:rsid w:val="000534E3"/>
    <w:rsid w:val="0005606A"/>
    <w:rsid w:val="00057117"/>
    <w:rsid w:val="000616E7"/>
    <w:rsid w:val="00063780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63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F5E"/>
    <w:rsid w:val="001062FB"/>
    <w:rsid w:val="001063E6"/>
    <w:rsid w:val="00113CF4"/>
    <w:rsid w:val="00114DB6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8FA"/>
    <w:rsid w:val="00135252"/>
    <w:rsid w:val="00137AB5"/>
    <w:rsid w:val="00137F0B"/>
    <w:rsid w:val="001408A7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5C7D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186"/>
    <w:rsid w:val="002D34B2"/>
    <w:rsid w:val="002D48B0"/>
    <w:rsid w:val="002D5B37"/>
    <w:rsid w:val="002D7637"/>
    <w:rsid w:val="002E17F2"/>
    <w:rsid w:val="002E7CAE"/>
    <w:rsid w:val="002F03AD"/>
    <w:rsid w:val="002F2771"/>
    <w:rsid w:val="002F30FC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18E1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5552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085C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D0C"/>
    <w:rsid w:val="00437447"/>
    <w:rsid w:val="00440656"/>
    <w:rsid w:val="00441A92"/>
    <w:rsid w:val="004431DC"/>
    <w:rsid w:val="00444F56"/>
    <w:rsid w:val="00446488"/>
    <w:rsid w:val="004517AA"/>
    <w:rsid w:val="00452CAC"/>
    <w:rsid w:val="00455C8A"/>
    <w:rsid w:val="00457565"/>
    <w:rsid w:val="00457B71"/>
    <w:rsid w:val="004669E2"/>
    <w:rsid w:val="004678AB"/>
    <w:rsid w:val="00470C31"/>
    <w:rsid w:val="00471DE0"/>
    <w:rsid w:val="004734D0"/>
    <w:rsid w:val="0047522B"/>
    <w:rsid w:val="0047556B"/>
    <w:rsid w:val="00477768"/>
    <w:rsid w:val="00492BC5"/>
    <w:rsid w:val="004964F1"/>
    <w:rsid w:val="004A16BC"/>
    <w:rsid w:val="004A1958"/>
    <w:rsid w:val="004A2B94"/>
    <w:rsid w:val="004A2D98"/>
    <w:rsid w:val="004A633E"/>
    <w:rsid w:val="004B6F6A"/>
    <w:rsid w:val="004B7C0C"/>
    <w:rsid w:val="004C3898"/>
    <w:rsid w:val="004C6604"/>
    <w:rsid w:val="004D1B89"/>
    <w:rsid w:val="004D36B1"/>
    <w:rsid w:val="004D5DB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29CF"/>
    <w:rsid w:val="00572505"/>
    <w:rsid w:val="00582809"/>
    <w:rsid w:val="0058798C"/>
    <w:rsid w:val="005879B0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6534"/>
    <w:rsid w:val="00611B83"/>
    <w:rsid w:val="00611D5C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787"/>
    <w:rsid w:val="00683ECE"/>
    <w:rsid w:val="00695FC2"/>
    <w:rsid w:val="00696949"/>
    <w:rsid w:val="00697052"/>
    <w:rsid w:val="00697A4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182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E3C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0F2B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1DF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77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635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92D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93F"/>
    <w:rsid w:val="00910B7D"/>
    <w:rsid w:val="00911DFB"/>
    <w:rsid w:val="009139D9"/>
    <w:rsid w:val="00914AD8"/>
    <w:rsid w:val="009154AD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22A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23D3"/>
    <w:rsid w:val="009E35DB"/>
    <w:rsid w:val="009E47A3"/>
    <w:rsid w:val="009E7F9B"/>
    <w:rsid w:val="009F08F3"/>
    <w:rsid w:val="009F344F"/>
    <w:rsid w:val="00A031D8"/>
    <w:rsid w:val="00A048A8"/>
    <w:rsid w:val="00A04F49"/>
    <w:rsid w:val="00A13E54"/>
    <w:rsid w:val="00A140FC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3302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76E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45B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0E58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65C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253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F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5E4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07E01"/>
    <w:rsid w:val="00F10629"/>
    <w:rsid w:val="00F11840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FC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B1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E4CAF8"/>
  <w15:chartTrackingRefBased/>
  <w15:docId w15:val="{9632743E-4CBD-4501-A807-C3B0CD9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1310" w:hanging="1310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BodyText2">
    <w:name w:val="Body Text 2"/>
    <w:basedOn w:val="Normal"/>
    <w:link w:val="BodyText2Char"/>
    <w:rsid w:val="00FF5B1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F5B1D"/>
    <w:rPr>
      <w:rFonts w:ascii="Times New Roman" w:hAnsi="Times New Roman"/>
      <w:lang w:eastAsia="ja-JP"/>
    </w:rPr>
  </w:style>
  <w:style w:type="character" w:customStyle="1" w:styleId="IvDbodytextChar">
    <w:name w:val="IvD bodytext Char"/>
    <w:basedOn w:val="DefaultParagraphFont"/>
    <w:link w:val="IvDbodytext"/>
    <w:locked/>
    <w:rsid w:val="00D40253"/>
    <w:rPr>
      <w:rFonts w:ascii="Arial" w:hAnsi="Arial" w:cs="Arial"/>
      <w:spacing w:val="2"/>
    </w:rPr>
  </w:style>
  <w:style w:type="paragraph" w:customStyle="1" w:styleId="IvDbodytext">
    <w:name w:val="IvD bodytext"/>
    <w:basedOn w:val="Normal"/>
    <w:link w:val="IvDbodytextChar"/>
    <w:rsid w:val="00D40253"/>
    <w:pPr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F3302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AF33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cid:image020.png@01D454F4.36D8AC70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wmf"/><Relationship Id="rId39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3.bin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cid:image022.png@01D454F4.36D8AC70" TargetMode="Externa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oleObject" Target="embeddings/oleObject10.bin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wmf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11.png@01D454F4.36D8AC70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image" Target="media/image17.wmf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cid:image021.png@01D454F4.36D8AC70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12.wmf"/><Relationship Id="rId36" Type="http://schemas.openxmlformats.org/officeDocument/2006/relationships/oleObject" Target="embeddings/oleObject9.bin"/><Relationship Id="rId10" Type="http://schemas.openxmlformats.org/officeDocument/2006/relationships/image" Target="media/image3.png"/><Relationship Id="rId19" Type="http://schemas.openxmlformats.org/officeDocument/2006/relationships/image" Target="cid:image023.png@01D454F4.36D8AC70" TargetMode="External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image" Target="media/image9.wmf"/><Relationship Id="rId27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8.bin"/><Relationship Id="rId43" Type="http://schemas.openxmlformats.org/officeDocument/2006/relationships/image" Target="media/image18.wmf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745B-28BC-48FD-BE14-537616E85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10</TotalTime>
  <Pages>3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6616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Asbjörn Grövlen</cp:lastModifiedBy>
  <cp:revision>12</cp:revision>
  <cp:lastPrinted>2008-01-31T07:09:00Z</cp:lastPrinted>
  <dcterms:created xsi:type="dcterms:W3CDTF">2018-09-28T16:11:00Z</dcterms:created>
  <dcterms:modified xsi:type="dcterms:W3CDTF">2018-09-28T17:00:00Z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